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02C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F24F9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F24F91" w:rsidRPr="00F24F91">
        <w:rPr>
          <w:rFonts w:ascii="Times New Roman" w:eastAsia="Times New Roman" w:hAnsi="Times New Roman" w:cs="Times New Roman"/>
          <w:lang w:eastAsia="ru-RU"/>
        </w:rPr>
        <w:t>4 556,90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F24F91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и окраска фасадов)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</w:t>
            </w: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объеме 3 314 </w:t>
            </w:r>
            <w:proofErr w:type="spellStart"/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 на сумму 15 450,0 тыс. руб. согласно Титульному списку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99DD-1D7A-477A-86E7-78392BDC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2021-03-15T08:29:00Z</dcterms:created>
  <dcterms:modified xsi:type="dcterms:W3CDTF">2021-03-15T08:29:00Z</dcterms:modified>
</cp:coreProperties>
</file>